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FE59" w14:textId="68410610" w:rsidR="003614FE" w:rsidRDefault="00865287" w:rsidP="00920D0E">
      <w:pPr>
        <w:jc w:val="center"/>
        <w:rPr>
          <w:sz w:val="24"/>
          <w:szCs w:val="24"/>
          <w:u w:val="single"/>
        </w:rPr>
      </w:pPr>
      <w:r w:rsidRPr="00865287">
        <w:rPr>
          <w:sz w:val="24"/>
          <w:szCs w:val="24"/>
          <w:u w:val="single"/>
        </w:rPr>
        <w:t>Authorisation Review</w:t>
      </w:r>
    </w:p>
    <w:p w14:paraId="0482FE64" w14:textId="2999D5FA" w:rsidR="1CDB2CA1" w:rsidRPr="00C02CD5" w:rsidRDefault="1CDB2CA1" w:rsidP="00460475">
      <w:pPr>
        <w:rPr>
          <w:u w:val="single"/>
        </w:rPr>
      </w:pPr>
      <w:r w:rsidRPr="00C02CD5">
        <w:rPr>
          <w:u w:val="single"/>
        </w:rPr>
        <w:t>Rationale</w:t>
      </w:r>
    </w:p>
    <w:p w14:paraId="158ABFB6" w14:textId="7BB1850C" w:rsidR="00BB5829" w:rsidRPr="00C02CD5" w:rsidRDefault="00935D65" w:rsidP="005552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 xml:space="preserve">Short term aim of the bass FMP </w:t>
      </w:r>
      <w:r w:rsidR="000A6E26" w:rsidRPr="00C02CD5">
        <w:rPr>
          <w:sz w:val="20"/>
          <w:szCs w:val="20"/>
        </w:rPr>
        <w:t xml:space="preserve">to review the </w:t>
      </w:r>
      <w:r w:rsidR="00B07BD2" w:rsidRPr="00C02CD5">
        <w:rPr>
          <w:sz w:val="20"/>
          <w:szCs w:val="20"/>
        </w:rPr>
        <w:t xml:space="preserve">current bass authorisation system. </w:t>
      </w:r>
      <w:r w:rsidR="00F25783" w:rsidRPr="00C02CD5">
        <w:rPr>
          <w:sz w:val="20"/>
          <w:szCs w:val="20"/>
        </w:rPr>
        <w:t xml:space="preserve">The review must be underway within 2 years of publication for this target to be met. </w:t>
      </w:r>
    </w:p>
    <w:p w14:paraId="0247627F" w14:textId="77777777" w:rsidR="00D80088" w:rsidRPr="00C02CD5" w:rsidRDefault="00555229" w:rsidP="007C0CF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 xml:space="preserve">Purpose of the group is </w:t>
      </w:r>
      <w:r w:rsidR="007C0CF0" w:rsidRPr="00C02CD5">
        <w:rPr>
          <w:sz w:val="20"/>
          <w:szCs w:val="20"/>
        </w:rPr>
        <w:t>to review the current system</w:t>
      </w:r>
      <w:r w:rsidR="00724050" w:rsidRPr="00C02CD5">
        <w:rPr>
          <w:sz w:val="20"/>
          <w:szCs w:val="20"/>
        </w:rPr>
        <w:t xml:space="preserve"> to determine if this</w:t>
      </w:r>
      <w:r w:rsidR="00D73DFA" w:rsidRPr="00C02CD5">
        <w:rPr>
          <w:sz w:val="20"/>
          <w:szCs w:val="20"/>
        </w:rPr>
        <w:t xml:space="preserve"> </w:t>
      </w:r>
      <w:r w:rsidR="00724050" w:rsidRPr="00C02CD5">
        <w:rPr>
          <w:sz w:val="20"/>
          <w:szCs w:val="20"/>
        </w:rPr>
        <w:t xml:space="preserve">is still the most appropriate </w:t>
      </w:r>
      <w:r w:rsidR="00D73DFA" w:rsidRPr="00C02CD5">
        <w:rPr>
          <w:sz w:val="20"/>
          <w:szCs w:val="20"/>
        </w:rPr>
        <w:t xml:space="preserve">system. </w:t>
      </w:r>
    </w:p>
    <w:p w14:paraId="5FC24E02" w14:textId="77777777" w:rsidR="00D80088" w:rsidRPr="00C02CD5" w:rsidRDefault="00D80088" w:rsidP="00D8008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Currently only UK and EU vessels with a track record of landing bass between 1</w:t>
      </w:r>
      <w:r w:rsidRPr="00C02CD5">
        <w:rPr>
          <w:sz w:val="20"/>
          <w:szCs w:val="20"/>
          <w:vertAlign w:val="superscript"/>
        </w:rPr>
        <w:t>st</w:t>
      </w:r>
      <w:r w:rsidRPr="00C02CD5">
        <w:rPr>
          <w:sz w:val="20"/>
          <w:szCs w:val="20"/>
        </w:rPr>
        <w:t xml:space="preserve"> July 2015 and 30</w:t>
      </w:r>
      <w:r w:rsidRPr="00C02CD5">
        <w:rPr>
          <w:sz w:val="20"/>
          <w:szCs w:val="20"/>
          <w:vertAlign w:val="superscript"/>
        </w:rPr>
        <w:t>th</w:t>
      </w:r>
      <w:r w:rsidRPr="00C02CD5">
        <w:rPr>
          <w:sz w:val="20"/>
          <w:szCs w:val="20"/>
        </w:rPr>
        <w:t xml:space="preserve"> September 2016 are authorised to use nets and hook and line gears.</w:t>
      </w:r>
    </w:p>
    <w:p w14:paraId="4DD92996" w14:textId="2F6C70A6" w:rsidR="007C0CF0" w:rsidRPr="00C02CD5" w:rsidRDefault="00D80088" w:rsidP="007C0CF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 xml:space="preserve">Trawls and seines do not currently need </w:t>
      </w:r>
      <w:r w:rsidR="00C25BA9" w:rsidRPr="00C02CD5">
        <w:rPr>
          <w:sz w:val="20"/>
          <w:szCs w:val="20"/>
        </w:rPr>
        <w:t xml:space="preserve">an entitlement, and instead have a 5% per trip limit. </w:t>
      </w:r>
      <w:r w:rsidR="00D73DFA" w:rsidRPr="00C02CD5">
        <w:rPr>
          <w:sz w:val="20"/>
          <w:szCs w:val="20"/>
        </w:rPr>
        <w:t xml:space="preserve"> </w:t>
      </w:r>
    </w:p>
    <w:p w14:paraId="4B505F6F" w14:textId="1C15B291" w:rsidR="00865287" w:rsidRDefault="25E1F39E" w:rsidP="00865287">
      <w:pPr>
        <w:rPr>
          <w:u w:val="single"/>
        </w:rPr>
      </w:pPr>
      <w:r w:rsidRPr="00C02CD5">
        <w:rPr>
          <w:u w:val="single"/>
        </w:rPr>
        <w:t>Objectives</w:t>
      </w:r>
      <w:r w:rsidR="00865287" w:rsidRPr="00C02CD5">
        <w:rPr>
          <w:u w:val="single"/>
        </w:rPr>
        <w:t xml:space="preserve"> </w:t>
      </w:r>
    </w:p>
    <w:p w14:paraId="6576B972" w14:textId="27DDE0D5" w:rsidR="0021105B" w:rsidRPr="007A2BA1" w:rsidRDefault="00197C2C" w:rsidP="00865287">
      <w:pPr>
        <w:rPr>
          <w:sz w:val="20"/>
          <w:szCs w:val="20"/>
        </w:rPr>
      </w:pPr>
      <w:r w:rsidRPr="007A2BA1">
        <w:rPr>
          <w:sz w:val="20"/>
          <w:szCs w:val="20"/>
        </w:rPr>
        <w:t xml:space="preserve">Review the </w:t>
      </w:r>
      <w:r w:rsidR="00BE59F1" w:rsidRPr="007A2BA1">
        <w:rPr>
          <w:sz w:val="20"/>
          <w:szCs w:val="20"/>
        </w:rPr>
        <w:t>existing domestic authorisation system</w:t>
      </w:r>
      <w:r w:rsidR="00B35686" w:rsidRPr="007A2BA1">
        <w:rPr>
          <w:sz w:val="20"/>
          <w:szCs w:val="20"/>
        </w:rPr>
        <w:t xml:space="preserve"> to assess its suitability. Any new system should align with </w:t>
      </w:r>
      <w:r w:rsidR="00C4488B">
        <w:rPr>
          <w:sz w:val="20"/>
          <w:szCs w:val="20"/>
        </w:rPr>
        <w:t>the following goals within the bass FMP</w:t>
      </w:r>
      <w:r w:rsidR="00E06CA2">
        <w:rPr>
          <w:sz w:val="20"/>
          <w:szCs w:val="20"/>
        </w:rPr>
        <w:t>:</w:t>
      </w:r>
    </w:p>
    <w:p w14:paraId="6126460C" w14:textId="4C02AF88" w:rsidR="00B87267" w:rsidRPr="00C02CD5" w:rsidRDefault="006C2F38" w:rsidP="00B8726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Short term objective</w:t>
      </w:r>
      <w:r w:rsidR="00D0234A" w:rsidRPr="00C02CD5">
        <w:rPr>
          <w:sz w:val="20"/>
          <w:szCs w:val="20"/>
        </w:rPr>
        <w:t>s</w:t>
      </w:r>
      <w:r w:rsidR="003B47E0">
        <w:rPr>
          <w:sz w:val="20"/>
          <w:szCs w:val="20"/>
        </w:rPr>
        <w:t>:</w:t>
      </w:r>
    </w:p>
    <w:p w14:paraId="1DA955BE" w14:textId="66E6E052" w:rsidR="006C2F38" w:rsidRPr="00C02CD5" w:rsidRDefault="00D0234A" w:rsidP="006C2F3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Goal 2 “Equitable access to the bass fishery, while prioritising stock sustainability”.</w:t>
      </w:r>
    </w:p>
    <w:p w14:paraId="38110DAA" w14:textId="5DECF7AF" w:rsidR="00D0234A" w:rsidRPr="00C02CD5" w:rsidRDefault="00D0234A" w:rsidP="006C2F3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Goal 8.1 “Minimise and, where possible, eliminate bycatch of sensitive species in bass fisheries”.</w:t>
      </w:r>
    </w:p>
    <w:p w14:paraId="22388A6E" w14:textId="1E14CB2D" w:rsidR="00D0234A" w:rsidRPr="00C02CD5" w:rsidRDefault="00D0234A" w:rsidP="00D0234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Medium/long term</w:t>
      </w:r>
      <w:r w:rsidR="00FC068B" w:rsidRPr="00C02CD5">
        <w:rPr>
          <w:sz w:val="20"/>
          <w:szCs w:val="20"/>
        </w:rPr>
        <w:t xml:space="preserve"> objectives</w:t>
      </w:r>
      <w:r w:rsidR="003B47E0">
        <w:rPr>
          <w:sz w:val="20"/>
          <w:szCs w:val="20"/>
        </w:rPr>
        <w:t>:</w:t>
      </w:r>
    </w:p>
    <w:p w14:paraId="285506C6" w14:textId="32AFE811" w:rsidR="00FC068B" w:rsidRPr="00C02CD5" w:rsidRDefault="00FC068B" w:rsidP="00FC068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Goal 3 “Minimise discarding of bass bycatch where survival rates are low”.</w:t>
      </w:r>
    </w:p>
    <w:p w14:paraId="06FE5A31" w14:textId="2CE64DA3" w:rsidR="00205652" w:rsidRPr="00C02CD5" w:rsidRDefault="00FC068B" w:rsidP="0086528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Goal 5 “Maximise the benefits of bass fishing for local coastal communities”.</w:t>
      </w:r>
    </w:p>
    <w:p w14:paraId="48D9FC3E" w14:textId="75D0BA01" w:rsidR="00205652" w:rsidRPr="00C02CD5" w:rsidRDefault="00E22488" w:rsidP="00865287">
      <w:pPr>
        <w:rPr>
          <w:u w:val="single"/>
        </w:rPr>
      </w:pPr>
      <w:r w:rsidRPr="00C02CD5">
        <w:rPr>
          <w:u w:val="single"/>
        </w:rPr>
        <w:t>Considerations</w:t>
      </w:r>
    </w:p>
    <w:p w14:paraId="587A582B" w14:textId="5595F9A3" w:rsidR="00260D14" w:rsidRPr="00C02CD5" w:rsidRDefault="00260D14" w:rsidP="00682A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Should the bass fishery remain a closed co</w:t>
      </w:r>
      <w:r w:rsidR="00682A1E" w:rsidRPr="00C02CD5">
        <w:rPr>
          <w:sz w:val="20"/>
          <w:szCs w:val="20"/>
        </w:rPr>
        <w:t>mmercial fishery?</w:t>
      </w:r>
    </w:p>
    <w:p w14:paraId="328B38D4" w14:textId="7EC9B529" w:rsidR="00682A1E" w:rsidRPr="00C02CD5" w:rsidRDefault="00682A1E" w:rsidP="00682A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How do we balance accessibility to the fishery with sustainability?</w:t>
      </w:r>
    </w:p>
    <w:p w14:paraId="48EAF131" w14:textId="09099603" w:rsidR="00682A1E" w:rsidRPr="00C02CD5" w:rsidRDefault="00135324" w:rsidP="00682A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Is the current authorisation system still appropriate?</w:t>
      </w:r>
    </w:p>
    <w:p w14:paraId="15CBA3F7" w14:textId="0EBB50A6" w:rsidR="00135324" w:rsidRPr="00C02CD5" w:rsidRDefault="00430BD0" w:rsidP="00682A1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Should authorisation still be based on a track record, or moved to another system?</w:t>
      </w:r>
    </w:p>
    <w:p w14:paraId="42A51BE8" w14:textId="41AD9A3E" w:rsidR="00A22F45" w:rsidRPr="00C02CD5" w:rsidRDefault="00E17BB9" w:rsidP="0086528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CD5">
        <w:rPr>
          <w:sz w:val="20"/>
          <w:szCs w:val="20"/>
        </w:rPr>
        <w:t>How do we best encourage stock recovery within this system?</w:t>
      </w:r>
    </w:p>
    <w:p w14:paraId="102A7ED1" w14:textId="4231AAE4" w:rsidR="00E22488" w:rsidRPr="00C02CD5" w:rsidRDefault="007C11C1" w:rsidP="00865287">
      <w:pPr>
        <w:rPr>
          <w:u w:val="single"/>
        </w:rPr>
      </w:pPr>
      <w:r w:rsidRPr="00C02CD5">
        <w:rPr>
          <w:u w:val="single"/>
        </w:rPr>
        <w:t>Roles of the BMG</w:t>
      </w:r>
      <w:r w:rsidR="0023518F" w:rsidRPr="00C02CD5">
        <w:rPr>
          <w:u w:val="single"/>
        </w:rPr>
        <w:t xml:space="preserve"> </w:t>
      </w:r>
      <w:r w:rsidR="00DA70AF" w:rsidRPr="00C02CD5">
        <w:rPr>
          <w:u w:val="single"/>
        </w:rPr>
        <w:t xml:space="preserve"> </w:t>
      </w:r>
    </w:p>
    <w:p w14:paraId="566ABF23" w14:textId="77777777" w:rsidR="00D175C0" w:rsidRPr="00C02CD5" w:rsidRDefault="00D175C0" w:rsidP="00D175C0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bass management group will be responsible for deciding the composition and size of the task-and-finish working group, ensuring all viewpoints are represented. </w:t>
      </w:r>
    </w:p>
    <w:p w14:paraId="58338CC9" w14:textId="70F678C8" w:rsidR="00D175C0" w:rsidRPr="00C02CD5" w:rsidRDefault="2EC6933C" w:rsidP="78D298F5">
      <w:p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>Possible repr</w:t>
      </w:r>
      <w:r w:rsidRPr="00C02CD5">
        <w:rPr>
          <w:rFonts w:eastAsia="Times New Roman"/>
          <w:color w:val="0B0C0C"/>
          <w:sz w:val="20"/>
          <w:szCs w:val="20"/>
          <w:lang w:eastAsia="en-GB"/>
        </w:rPr>
        <w:t>e</w:t>
      </w:r>
      <w:r w:rsidRPr="00C02CD5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>sentatives</w:t>
      </w:r>
      <w:r w:rsidR="00D175C0" w:rsidRPr="00C02CD5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 xml:space="preserve"> within the task-and-finish group: </w:t>
      </w:r>
    </w:p>
    <w:p w14:paraId="4FC37AD0" w14:textId="730E74D4" w:rsidR="009F5E9E" w:rsidRPr="00C02CD5" w:rsidRDefault="00DD0468" w:rsidP="009F5E9E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>Defra</w:t>
      </w:r>
    </w:p>
    <w:p w14:paraId="49EC636E" w14:textId="4E3B6D9B" w:rsidR="00DD0468" w:rsidRPr="00C02CD5" w:rsidRDefault="00DD0468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>M</w:t>
      </w:r>
      <w:r w:rsidR="00F55BA3"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  <w:t>arine Management Organisation</w:t>
      </w:r>
    </w:p>
    <w:p w14:paraId="1C14992B" w14:textId="554070D3" w:rsidR="00DD0468" w:rsidRPr="00C02CD5" w:rsidRDefault="00027A1E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ascii="Calibri" w:eastAsiaTheme="majorEastAsia" w:hAnsi="Calibri" w:cs="Calibri"/>
          <w:color w:val="000000"/>
          <w:sz w:val="20"/>
          <w:szCs w:val="20"/>
        </w:rPr>
        <w:t>C</w:t>
      </w:r>
      <w:r w:rsidR="00487F77">
        <w:rPr>
          <w:rFonts w:ascii="Calibri" w:eastAsiaTheme="majorEastAsia" w:hAnsi="Calibri" w:cs="Calibri"/>
          <w:color w:val="000000"/>
          <w:sz w:val="20"/>
          <w:szCs w:val="20"/>
        </w:rPr>
        <w:t xml:space="preserve">entre for Environment, </w:t>
      </w:r>
      <w:r w:rsidR="00582A9B">
        <w:rPr>
          <w:rFonts w:ascii="Calibri" w:eastAsiaTheme="majorEastAsia" w:hAnsi="Calibri" w:cs="Calibri"/>
          <w:color w:val="000000"/>
          <w:sz w:val="20"/>
          <w:szCs w:val="20"/>
        </w:rPr>
        <w:t>Fisheries and Aquaculture Science</w:t>
      </w:r>
    </w:p>
    <w:p w14:paraId="7DE288BD" w14:textId="77777777" w:rsidR="00DD0468" w:rsidRPr="00C02CD5" w:rsidRDefault="00027A1E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ascii="Calibri" w:eastAsiaTheme="majorEastAsia" w:hAnsi="Calibri" w:cs="Calibri"/>
          <w:color w:val="000000"/>
          <w:sz w:val="20"/>
          <w:szCs w:val="20"/>
        </w:rPr>
        <w:t>Commercial Fishers</w:t>
      </w:r>
    </w:p>
    <w:p w14:paraId="433F0705" w14:textId="796A6693" w:rsidR="00DD0468" w:rsidRPr="00C02CD5" w:rsidRDefault="00027A1E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ascii="Calibri" w:eastAsiaTheme="majorEastAsia" w:hAnsi="Calibri" w:cs="Calibri"/>
          <w:color w:val="000000"/>
          <w:sz w:val="20"/>
          <w:szCs w:val="20"/>
        </w:rPr>
        <w:t>I</w:t>
      </w:r>
      <w:r w:rsidR="00A50050">
        <w:rPr>
          <w:rFonts w:ascii="Calibri" w:eastAsiaTheme="majorEastAsia" w:hAnsi="Calibri" w:cs="Calibri"/>
          <w:color w:val="000000"/>
          <w:sz w:val="20"/>
          <w:szCs w:val="20"/>
        </w:rPr>
        <w:t>nshore Fisheries and Conservation Authorities</w:t>
      </w:r>
    </w:p>
    <w:p w14:paraId="355CF1E9" w14:textId="616DFF16" w:rsidR="00DD0468" w:rsidRPr="00C02CD5" w:rsidRDefault="00A50050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Theme="majorEastAsia" w:hAnsi="Calibri" w:cs="Calibri"/>
          <w:color w:val="000000"/>
          <w:sz w:val="20"/>
          <w:szCs w:val="20"/>
        </w:rPr>
        <w:t>Natural England</w:t>
      </w:r>
    </w:p>
    <w:p w14:paraId="787A600B" w14:textId="5140933A" w:rsidR="00027A1E" w:rsidRPr="00C02CD5" w:rsidRDefault="00027A1E" w:rsidP="00DD0468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ascii="Calibri" w:eastAsiaTheme="majorEastAsia" w:hAnsi="Calibri" w:cs="Calibri"/>
          <w:color w:val="000000" w:themeColor="text1"/>
          <w:sz w:val="20"/>
          <w:szCs w:val="20"/>
        </w:rPr>
        <w:t>Welsh Government</w:t>
      </w:r>
    </w:p>
    <w:p w14:paraId="15C295AA" w14:textId="40AF3050" w:rsidR="007C11C1" w:rsidRPr="00C02CD5" w:rsidRDefault="00C05918" w:rsidP="00865287">
      <w:pPr>
        <w:rPr>
          <w:sz w:val="20"/>
          <w:szCs w:val="20"/>
        </w:rPr>
      </w:pPr>
      <w:r w:rsidRPr="00C02CD5">
        <w:rPr>
          <w:sz w:val="20"/>
          <w:szCs w:val="20"/>
        </w:rPr>
        <w:t xml:space="preserve">Do you have any further suggestions for the membership of the group? </w:t>
      </w:r>
    </w:p>
    <w:p w14:paraId="35FF97BB" w14:textId="6CAFDE2F" w:rsidR="005A6916" w:rsidRPr="00C02CD5" w:rsidRDefault="005A6916" w:rsidP="00865287">
      <w:pPr>
        <w:rPr>
          <w:u w:val="single"/>
        </w:rPr>
      </w:pPr>
      <w:r w:rsidRPr="00C02CD5">
        <w:rPr>
          <w:u w:val="single"/>
        </w:rPr>
        <w:t>Next Steps</w:t>
      </w:r>
    </w:p>
    <w:p w14:paraId="0806DFDF" w14:textId="4F5CEDE6" w:rsidR="00705D15" w:rsidRPr="00E9693A" w:rsidRDefault="00915AF9" w:rsidP="00E9693A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task-and-finish group should meet as and when required to review evidence on </w:t>
      </w:r>
      <w:r w:rsidR="005E66E3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 authorisation system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</w:t>
      </w:r>
      <w:r w:rsidR="005E66E3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for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bass fisheries and discuss</w:t>
      </w:r>
      <w:r w:rsidR="005E66E3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potential options </w:t>
      </w:r>
      <w:r w:rsidR="007722EA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for change moving forward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. These meetings will be organised and chaired by a </w:t>
      </w:r>
      <w:r w:rsidR="00040027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s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elected </w:t>
      </w:r>
      <w:r w:rsidR="00233409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individual, either from within the bass management group or externally. 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These meetings should also focus on how the bass management group and the task-and-finish group can address the medium-and long-term bass FMP goals. </w:t>
      </w:r>
    </w:p>
    <w:sectPr w:rsidR="00705D15" w:rsidRPr="00E9693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690B" w14:textId="77777777" w:rsidR="00590AF0" w:rsidRDefault="00590AF0" w:rsidP="00DC027E">
      <w:pPr>
        <w:spacing w:after="0" w:line="240" w:lineRule="auto"/>
      </w:pPr>
      <w:r>
        <w:separator/>
      </w:r>
    </w:p>
  </w:endnote>
  <w:endnote w:type="continuationSeparator" w:id="0">
    <w:p w14:paraId="19FB9EAD" w14:textId="77777777" w:rsidR="00590AF0" w:rsidRDefault="00590AF0" w:rsidP="00DC027E">
      <w:pPr>
        <w:spacing w:after="0" w:line="240" w:lineRule="auto"/>
      </w:pPr>
      <w:r>
        <w:continuationSeparator/>
      </w:r>
    </w:p>
  </w:endnote>
  <w:endnote w:type="continuationNotice" w:id="1">
    <w:p w14:paraId="411C040E" w14:textId="77777777" w:rsidR="00590AF0" w:rsidRDefault="00590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0539E" w14:paraId="4A50528A" w14:textId="77777777" w:rsidTr="5D80539E">
      <w:trPr>
        <w:trHeight w:val="300"/>
      </w:trPr>
      <w:tc>
        <w:tcPr>
          <w:tcW w:w="3005" w:type="dxa"/>
        </w:tcPr>
        <w:p w14:paraId="3DA87245" w14:textId="4D46D075" w:rsidR="5D80539E" w:rsidRDefault="5D80539E" w:rsidP="5D80539E">
          <w:pPr>
            <w:pStyle w:val="Header"/>
            <w:ind w:left="-115"/>
          </w:pPr>
        </w:p>
      </w:tc>
      <w:tc>
        <w:tcPr>
          <w:tcW w:w="3005" w:type="dxa"/>
        </w:tcPr>
        <w:p w14:paraId="4B511677" w14:textId="3F50E673" w:rsidR="5D80539E" w:rsidRDefault="5D80539E" w:rsidP="5D80539E">
          <w:pPr>
            <w:pStyle w:val="Header"/>
            <w:jc w:val="center"/>
          </w:pPr>
        </w:p>
      </w:tc>
      <w:tc>
        <w:tcPr>
          <w:tcW w:w="3005" w:type="dxa"/>
        </w:tcPr>
        <w:p w14:paraId="6BF17B40" w14:textId="1A15C308" w:rsidR="5D80539E" w:rsidRDefault="00BD5688" w:rsidP="5D80539E">
          <w:pPr>
            <w:pStyle w:val="Header"/>
            <w:ind w:right="-115"/>
            <w:jc w:val="right"/>
          </w:pPr>
          <w:r>
            <w:t>1</w:t>
          </w:r>
        </w:p>
      </w:tc>
    </w:tr>
  </w:tbl>
  <w:p w14:paraId="421A0915" w14:textId="1A03FEF8" w:rsidR="00DC027E" w:rsidRDefault="00DC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CD45" w14:textId="77777777" w:rsidR="00590AF0" w:rsidRDefault="00590AF0" w:rsidP="00DC027E">
      <w:pPr>
        <w:spacing w:after="0" w:line="240" w:lineRule="auto"/>
      </w:pPr>
      <w:r>
        <w:separator/>
      </w:r>
    </w:p>
  </w:footnote>
  <w:footnote w:type="continuationSeparator" w:id="0">
    <w:p w14:paraId="660683CD" w14:textId="77777777" w:rsidR="00590AF0" w:rsidRDefault="00590AF0" w:rsidP="00DC027E">
      <w:pPr>
        <w:spacing w:after="0" w:line="240" w:lineRule="auto"/>
      </w:pPr>
      <w:r>
        <w:continuationSeparator/>
      </w:r>
    </w:p>
  </w:footnote>
  <w:footnote w:type="continuationNotice" w:id="1">
    <w:p w14:paraId="1CCAE16E" w14:textId="77777777" w:rsidR="00590AF0" w:rsidRDefault="00590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0539E" w14:paraId="46AAE39F" w14:textId="77777777" w:rsidTr="5D80539E">
      <w:trPr>
        <w:trHeight w:val="300"/>
      </w:trPr>
      <w:tc>
        <w:tcPr>
          <w:tcW w:w="3005" w:type="dxa"/>
        </w:tcPr>
        <w:p w14:paraId="776252F5" w14:textId="1461F34C" w:rsidR="5D80539E" w:rsidRDefault="5D80539E" w:rsidP="5D80539E">
          <w:pPr>
            <w:pStyle w:val="Header"/>
            <w:ind w:left="-115"/>
          </w:pPr>
        </w:p>
      </w:tc>
      <w:tc>
        <w:tcPr>
          <w:tcW w:w="3005" w:type="dxa"/>
        </w:tcPr>
        <w:p w14:paraId="178DCDE9" w14:textId="4689958B" w:rsidR="5D80539E" w:rsidRDefault="5D80539E" w:rsidP="5D80539E">
          <w:pPr>
            <w:pStyle w:val="Header"/>
            <w:jc w:val="center"/>
          </w:pPr>
        </w:p>
      </w:tc>
      <w:tc>
        <w:tcPr>
          <w:tcW w:w="3005" w:type="dxa"/>
        </w:tcPr>
        <w:p w14:paraId="7CBA295B" w14:textId="296C61DD" w:rsidR="5D80539E" w:rsidRDefault="5D80539E" w:rsidP="5D80539E">
          <w:pPr>
            <w:pStyle w:val="Header"/>
            <w:ind w:right="-115"/>
            <w:jc w:val="right"/>
          </w:pPr>
        </w:p>
      </w:tc>
    </w:tr>
    <w:tr w:rsidR="009C75EB" w14:paraId="5D8850AC" w14:textId="77777777" w:rsidTr="5D80539E">
      <w:trPr>
        <w:trHeight w:val="300"/>
      </w:trPr>
      <w:tc>
        <w:tcPr>
          <w:tcW w:w="3005" w:type="dxa"/>
        </w:tcPr>
        <w:p w14:paraId="0731C11E" w14:textId="4E314E30" w:rsidR="009C75EB" w:rsidRDefault="009C75EB" w:rsidP="5D80539E">
          <w:pPr>
            <w:pStyle w:val="Header"/>
            <w:ind w:left="-115"/>
          </w:pPr>
          <w:r>
            <w:t>Bass Management Group</w:t>
          </w:r>
        </w:p>
      </w:tc>
      <w:tc>
        <w:tcPr>
          <w:tcW w:w="3005" w:type="dxa"/>
        </w:tcPr>
        <w:p w14:paraId="1ACA57FE" w14:textId="649D97C9" w:rsidR="009C75EB" w:rsidRDefault="006878D3" w:rsidP="5D80539E">
          <w:pPr>
            <w:pStyle w:val="Header"/>
            <w:jc w:val="center"/>
          </w:pPr>
          <w:r>
            <w:t>Task-and-Finish</w:t>
          </w:r>
        </w:p>
      </w:tc>
      <w:tc>
        <w:tcPr>
          <w:tcW w:w="3005" w:type="dxa"/>
        </w:tcPr>
        <w:p w14:paraId="5F9E78AC" w14:textId="2E76B9D3" w:rsidR="009C75EB" w:rsidRDefault="00BD5688" w:rsidP="5D80539E">
          <w:pPr>
            <w:pStyle w:val="Header"/>
            <w:ind w:right="-115"/>
            <w:jc w:val="right"/>
          </w:pPr>
          <w:r>
            <w:t>1 Page briefing document</w:t>
          </w:r>
        </w:p>
      </w:tc>
    </w:tr>
    <w:tr w:rsidR="00BD5688" w14:paraId="3548A134" w14:textId="77777777" w:rsidTr="5D80539E">
      <w:trPr>
        <w:trHeight w:val="300"/>
      </w:trPr>
      <w:tc>
        <w:tcPr>
          <w:tcW w:w="3005" w:type="dxa"/>
        </w:tcPr>
        <w:p w14:paraId="3911FC41" w14:textId="77777777" w:rsidR="00BD5688" w:rsidRDefault="00BD5688" w:rsidP="5D80539E">
          <w:pPr>
            <w:pStyle w:val="Header"/>
            <w:ind w:left="-115"/>
          </w:pPr>
        </w:p>
      </w:tc>
      <w:tc>
        <w:tcPr>
          <w:tcW w:w="3005" w:type="dxa"/>
        </w:tcPr>
        <w:p w14:paraId="02070D81" w14:textId="77777777" w:rsidR="00BD5688" w:rsidRDefault="00BD5688" w:rsidP="5D80539E">
          <w:pPr>
            <w:pStyle w:val="Header"/>
            <w:jc w:val="center"/>
          </w:pPr>
        </w:p>
      </w:tc>
      <w:tc>
        <w:tcPr>
          <w:tcW w:w="3005" w:type="dxa"/>
        </w:tcPr>
        <w:p w14:paraId="639DBC2B" w14:textId="77777777" w:rsidR="00BD5688" w:rsidRDefault="00BD5688" w:rsidP="5D80539E">
          <w:pPr>
            <w:pStyle w:val="Header"/>
            <w:ind w:right="-115"/>
            <w:jc w:val="right"/>
          </w:pPr>
        </w:p>
      </w:tc>
    </w:tr>
  </w:tbl>
  <w:p w14:paraId="5AEE7067" w14:textId="559E0734" w:rsidR="00DC027E" w:rsidRDefault="00DC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84C"/>
    <w:multiLevelType w:val="hybridMultilevel"/>
    <w:tmpl w:val="05D07372"/>
    <w:lvl w:ilvl="0" w:tplc="D258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78A"/>
    <w:multiLevelType w:val="hybridMultilevel"/>
    <w:tmpl w:val="D298939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00158E"/>
    <w:multiLevelType w:val="hybridMultilevel"/>
    <w:tmpl w:val="7046CBE2"/>
    <w:lvl w:ilvl="0" w:tplc="67C0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4664">
    <w:abstractNumId w:val="1"/>
  </w:num>
  <w:num w:numId="2" w16cid:durableId="1518275975">
    <w:abstractNumId w:val="2"/>
  </w:num>
  <w:num w:numId="3" w16cid:durableId="84019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7"/>
    <w:rsid w:val="00027A1E"/>
    <w:rsid w:val="00040027"/>
    <w:rsid w:val="00070A98"/>
    <w:rsid w:val="00091878"/>
    <w:rsid w:val="0009242B"/>
    <w:rsid w:val="000A6E26"/>
    <w:rsid w:val="000C588C"/>
    <w:rsid w:val="001057E2"/>
    <w:rsid w:val="001065BC"/>
    <w:rsid w:val="00116D0F"/>
    <w:rsid w:val="00127A38"/>
    <w:rsid w:val="00135324"/>
    <w:rsid w:val="00197C2C"/>
    <w:rsid w:val="001B185E"/>
    <w:rsid w:val="00205652"/>
    <w:rsid w:val="0021105B"/>
    <w:rsid w:val="00212699"/>
    <w:rsid w:val="00224D00"/>
    <w:rsid w:val="00233409"/>
    <w:rsid w:val="0023518F"/>
    <w:rsid w:val="00260D14"/>
    <w:rsid w:val="002F5B1E"/>
    <w:rsid w:val="003139EC"/>
    <w:rsid w:val="003614FE"/>
    <w:rsid w:val="003B47E0"/>
    <w:rsid w:val="00422521"/>
    <w:rsid w:val="00430BD0"/>
    <w:rsid w:val="00460475"/>
    <w:rsid w:val="0048790D"/>
    <w:rsid w:val="00487F77"/>
    <w:rsid w:val="004A2B00"/>
    <w:rsid w:val="00555229"/>
    <w:rsid w:val="00582A9B"/>
    <w:rsid w:val="00590AF0"/>
    <w:rsid w:val="005978D1"/>
    <w:rsid w:val="005A6916"/>
    <w:rsid w:val="005B1499"/>
    <w:rsid w:val="005C448A"/>
    <w:rsid w:val="005E66E3"/>
    <w:rsid w:val="00603E1C"/>
    <w:rsid w:val="0064376A"/>
    <w:rsid w:val="00682A1E"/>
    <w:rsid w:val="006878D3"/>
    <w:rsid w:val="006C2F38"/>
    <w:rsid w:val="006E4565"/>
    <w:rsid w:val="006F6404"/>
    <w:rsid w:val="00705D15"/>
    <w:rsid w:val="00724050"/>
    <w:rsid w:val="0073732B"/>
    <w:rsid w:val="00740779"/>
    <w:rsid w:val="00752447"/>
    <w:rsid w:val="007722EA"/>
    <w:rsid w:val="007A2BA1"/>
    <w:rsid w:val="007A5F71"/>
    <w:rsid w:val="007B292C"/>
    <w:rsid w:val="007C0CF0"/>
    <w:rsid w:val="007C11C1"/>
    <w:rsid w:val="008176D4"/>
    <w:rsid w:val="00835BF7"/>
    <w:rsid w:val="008446BB"/>
    <w:rsid w:val="00865287"/>
    <w:rsid w:val="00902940"/>
    <w:rsid w:val="00902C89"/>
    <w:rsid w:val="00915AF9"/>
    <w:rsid w:val="00920D0E"/>
    <w:rsid w:val="00931333"/>
    <w:rsid w:val="00935D65"/>
    <w:rsid w:val="009B77D2"/>
    <w:rsid w:val="009C75EB"/>
    <w:rsid w:val="009F5E9E"/>
    <w:rsid w:val="00A22F45"/>
    <w:rsid w:val="00A25889"/>
    <w:rsid w:val="00A50050"/>
    <w:rsid w:val="00A93924"/>
    <w:rsid w:val="00A95723"/>
    <w:rsid w:val="00AD76E3"/>
    <w:rsid w:val="00AE1A57"/>
    <w:rsid w:val="00B04F79"/>
    <w:rsid w:val="00B07BD2"/>
    <w:rsid w:val="00B344DC"/>
    <w:rsid w:val="00B35686"/>
    <w:rsid w:val="00B87267"/>
    <w:rsid w:val="00B91C95"/>
    <w:rsid w:val="00B92D8E"/>
    <w:rsid w:val="00B96403"/>
    <w:rsid w:val="00BB5829"/>
    <w:rsid w:val="00BD5688"/>
    <w:rsid w:val="00BE3440"/>
    <w:rsid w:val="00BE59F1"/>
    <w:rsid w:val="00C02CD5"/>
    <w:rsid w:val="00C05918"/>
    <w:rsid w:val="00C161D0"/>
    <w:rsid w:val="00C25BA9"/>
    <w:rsid w:val="00C4488B"/>
    <w:rsid w:val="00CA6958"/>
    <w:rsid w:val="00D0234A"/>
    <w:rsid w:val="00D1253E"/>
    <w:rsid w:val="00D175C0"/>
    <w:rsid w:val="00D30995"/>
    <w:rsid w:val="00D73DFA"/>
    <w:rsid w:val="00D80088"/>
    <w:rsid w:val="00DA138B"/>
    <w:rsid w:val="00DA70AF"/>
    <w:rsid w:val="00DC027E"/>
    <w:rsid w:val="00DD0468"/>
    <w:rsid w:val="00E06CA2"/>
    <w:rsid w:val="00E11558"/>
    <w:rsid w:val="00E17BB9"/>
    <w:rsid w:val="00E22488"/>
    <w:rsid w:val="00E657F7"/>
    <w:rsid w:val="00E9693A"/>
    <w:rsid w:val="00EA115A"/>
    <w:rsid w:val="00EB3CD8"/>
    <w:rsid w:val="00F25783"/>
    <w:rsid w:val="00F552F5"/>
    <w:rsid w:val="00F55BA3"/>
    <w:rsid w:val="00F964B8"/>
    <w:rsid w:val="00FA28D1"/>
    <w:rsid w:val="00FC068B"/>
    <w:rsid w:val="01B1A6D4"/>
    <w:rsid w:val="1CDB2CA1"/>
    <w:rsid w:val="1E9D471A"/>
    <w:rsid w:val="24B2355D"/>
    <w:rsid w:val="25E1F39E"/>
    <w:rsid w:val="2EC6933C"/>
    <w:rsid w:val="50706DC9"/>
    <w:rsid w:val="5825FE76"/>
    <w:rsid w:val="5D80539E"/>
    <w:rsid w:val="5F88B595"/>
    <w:rsid w:val="6DA2DE27"/>
    <w:rsid w:val="7467357F"/>
    <w:rsid w:val="78D29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13C6"/>
  <w15:chartTrackingRefBased/>
  <w15:docId w15:val="{16BBA752-6B3F-4EBC-B5EB-7735ED6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287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2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7E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7E"/>
  </w:style>
  <w:style w:type="table" w:styleId="TableGrid">
    <w:name w:val="Table Grid"/>
    <w:basedOn w:val="TableNormal"/>
    <w:uiPriority w:val="59"/>
    <w:rsid w:val="00DC0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A3FC87831A8D34A872E0818D391B692" ma:contentTypeVersion="22" ma:contentTypeDescription="Create a new document." ma:contentTypeScope="" ma:versionID="f5713f56b6dd2eee59df3831956d917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162f1fa-673b-4d7d-8bdd-72c55bc94057" xmlns:ns4="c2a29bdd-637a-4f4b-b2b1-1338f72c8a40" targetNamespace="http://schemas.microsoft.com/office/2006/metadata/properties" ma:root="true" ma:fieldsID="5869320e40efcf43b4555ba522e19588" ns1:_="" ns2:_="" ns3:_="" ns4:_="">
    <xsd:import namespace="http://schemas.microsoft.com/sharepoint/v3"/>
    <xsd:import namespace="662745e8-e224-48e8-a2e3-254862b8c2f5"/>
    <xsd:import namespace="b162f1fa-673b-4d7d-8bdd-72c55bc94057"/>
    <xsd:import namespace="c2a29bdd-637a-4f4b-b2b1-1338f72c8a4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da871f-9899-461e-9316-a5d3a94d8fa2}" ma:internalName="TaxCatchAll" ma:showField="CatchAllData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da871f-9899-461e-9316-a5d3a94d8fa2}" ma:internalName="TaxCatchAllLabel" ma:readOnly="true" ma:showField="CatchAllDataLabel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omestic Fisheries and Reform" ma:internalName="Team">
      <xsd:simpleType>
        <xsd:restriction base="dms:Text"/>
      </xsd:simpleType>
    </xsd:element>
    <xsd:element name="Topic" ma:index="20" nillable="true" ma:displayName="Topic" ma:default="Non_Quota_Speci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f1fa-673b-4d7d-8bdd-72c55bc9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9bdd-637a-4f4b-b2b1-1338f72c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lcf76f155ced4ddcb4097134ff3c332f xmlns="b162f1fa-673b-4d7d-8bdd-72c55bc94057">
      <Terms xmlns="http://schemas.microsoft.com/office/infopath/2007/PartnerControls"/>
    </lcf76f155ced4ddcb4097134ff3c332f>
    <k85d23755b3a46b5a51451cf336b2e9b xmlns="662745e8-e224-48e8-a2e3-254862b8c2f5">
      <Terms xmlns="http://schemas.microsoft.com/office/infopath/2007/PartnerControls"/>
    </k85d23755b3a46b5a51451cf336b2e9b>
    <Topic xmlns="662745e8-e224-48e8-a2e3-254862b8c2f5">Non_Quota_Species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Domestic Fisheries and Reform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DA6AE194-33EF-493B-A219-9D665FFC8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162f1fa-673b-4d7d-8bdd-72c55bc94057"/>
    <ds:schemaRef ds:uri="c2a29bdd-637a-4f4b-b2b1-1338f72c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583A4-47F2-4B99-B31D-CF8DBB96A7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5A76F4-E441-46A6-96BC-3113374A2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A6BD4-6106-4D9F-80E1-C8ED5A199B19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b162f1fa-673b-4d7d-8bdd-72c55bc940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>Defra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Peter</dc:creator>
  <cp:keywords/>
  <dc:description/>
  <cp:lastModifiedBy>Elliott, Peter</cp:lastModifiedBy>
  <cp:revision>3</cp:revision>
  <dcterms:created xsi:type="dcterms:W3CDTF">2024-11-05T15:53:00Z</dcterms:created>
  <dcterms:modified xsi:type="dcterms:W3CDTF">2024-11-05T15:59:00Z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0x010100A5BF1C78D9F64B679A5EBDE1C6598EBC0100CA3FC87831A8D34A872E0818D391B692</vt:lpwstr>
  </property>
  <property fmtid="{D5CDD505-2E9C-101B-9397-08002B2CF9AE}" pid="3" name="Distribution">
    <vt:lpwstr>9;#External|1104eb68-55d8-494f-b6ba-c5473579de73</vt:lpwstr>
  </property>
  <property fmtid="{D5CDD505-2E9C-101B-9397-08002B2CF9AE}" pid="4" name="HOCopyrightLevel">
    <vt:lpwstr>7;#Crown|69589897-2828-4761-976e-717fd8e631c9</vt:lpwstr>
  </property>
  <property fmtid="{D5CDD505-2E9C-101B-9397-08002B2CF9AE}" pid="5" name="HOGovernmentSecurityClassification">
    <vt:lpwstr>6;#Official|14c80daa-741b-422c-9722-f71693c9ede4</vt:lpwstr>
  </property>
  <property fmtid="{D5CDD505-2E9C-101B-9397-08002B2CF9AE}" pid="6" name="HOSiteType">
    <vt:lpwstr>10;#Team|ff0485df-0575-416f-802f-e999165821b7</vt:lpwstr>
  </property>
  <property fmtid="{D5CDD505-2E9C-101B-9397-08002B2CF9AE}" pid="7" name="OrganisationalUnit">
    <vt:lpwstr>8;#Core Defra|026223dd-2e56-4615-868d-7c5bfd566810</vt:lpwstr>
  </property>
  <property fmtid="{D5CDD505-2E9C-101B-9397-08002B2CF9AE}" pid="8" name="InformationType">
    <vt:lpwstr/>
  </property>
  <property fmtid="{D5CDD505-2E9C-101B-9397-08002B2CF9AE}" pid="9" name="MediaServiceImageTags">
    <vt:lpwstr/>
  </property>
</Properties>
</file>